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Terminology Matching: Answers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Instructions: Select the best answer from the right-hand column for each question in the left-hand column.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vertAlign w:val="baseline"/>
        </w:rPr>
        <w:sectPr>
          <w:footerReference r:id="rId7" w:type="default"/>
          <w:pgSz w:h="15840" w:w="12240" w:orient="portrait"/>
          <w:pgMar w:bottom="720" w:top="1440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Subject headings are found here in a MARC record._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When the cataloger cannot find an existing cataloging record for an item, they need to do this._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These fields allow a catalog to provide more contextual information, such as the source of where the title came from, if not from the preferred source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This provides some information on the subject of a book, but it is primarily used to physically group similar items together._A__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This is a resource I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 use to find out what a MARC field is, whether it is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required or not, or if a subfield is repeatable._E__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This is one of the goals of the catalog record._C__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et of guidelines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 best practices that guide a cataloger in describing a resource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._F_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According to RDA, titles should be recorded this way.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_J__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system that houses bibliographic 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ecords (and sometimes holding and item data, too!) for resources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 a library’s collection._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120" w:lineRule="auto"/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process of assigning a subject, to determine a resource’s “aboutness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._I__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Call number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5xx fields / Notes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identify and describe the item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Original cataloging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Bibliographic Formats &amp;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RDA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6xx fields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Subject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before="240" w:lineRule="auto"/>
        <w:ind w:left="144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Transcribed</w:t>
      </w:r>
    </w:p>
    <w:sectPr>
      <w:type w:val="continuous"/>
      <w:pgSz w:h="15840" w:w="12240" w:orient="portrait"/>
      <w:pgMar w:bottom="720" w:top="1440" w:left="1800" w:right="1800" w:header="720" w:footer="720"/>
      <w:cols w:equalWidth="0" w:num="2">
        <w:col w:space="720" w:w="3960"/>
        <w:col w:space="0" w:w="39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 xml:space="preserve">Robin Fay 2015-2022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4Dy6SDa8mMlp1FN+gywBbOn4A==">AMUW2mWgAI5y8WUQvYtuL6pagoUORFdfTcSiGa8/2sQ9VNDDrVS0pRob9B7S9cXW9tMIEt0udO2KH6brDeMMZHsffvs9kn/EPcWOkd7sJrmLNoBPVJluKrw=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2010-03-02T19:06:00Z</dcterms:created>
  <dc:creator>OCLC Services</dc:creator>
</cp:coreProperties>
</file>