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5000" cy="102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highlight w:val="white"/>
          <w:rtl w:val="0"/>
        </w:rPr>
        <w:t xml:space="preserve">Resources, Exercises, Cheatsheets &amp; more!</w:t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  <w:color w:val="1f497d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1f497d"/>
          <w:sz w:val="36"/>
          <w:szCs w:val="36"/>
          <w:highlight w:val="white"/>
          <w:rtl w:val="0"/>
        </w:rPr>
        <w:t xml:space="preserve">https://tinyurl.com/copy-catalog-basics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b w:val="1"/>
          <w:color w:val="1f497d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highlight w:val="white"/>
          <w:rtl w:val="0"/>
        </w:rPr>
        <w:t xml:space="preserve">Copy Cataloging &amp; MARC knowledge check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highlight w:val="white"/>
          <w:rtl w:val="0"/>
        </w:rPr>
        <w:t xml:space="preserve">MARC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https://forms.gle/bJhjTKhanYH9QMa27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highlight w:val="white"/>
          <w:rtl w:val="0"/>
        </w:rPr>
        <w:t xml:space="preserve">Metadata &amp; Semantic Web Glossary by Robin Fay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https://www.tinyurl.com/metadataglossary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bJhjTKhanYH9QMa27" TargetMode="External"/><Relationship Id="rId8" Type="http://schemas.openxmlformats.org/officeDocument/2006/relationships/hyperlink" Target="https://www.tinyurl.com/metadata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